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Exploring Environmental Themes in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"The Lorax" and Real-World Analogies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Introduction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"The Lorax" offers a vivid depiction of environmental issues that are relevant in our world today. This assignment will help you understand these themes and their real-world analogies.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1: Reflection on "The Lorax"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Based on your viewing of "The Lorax," answer the following questions: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10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problem of deforestation as presented in "The Lorax." How did it affect the creatures and the environment in the movie?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examples of pollution seen in "The Lorax?" How did this pollution occur and what were its impacts?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movie depict the theme of overconsumption and greed? What were the consequences?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movie portray the disregard for nature's value? Can you provide specific examples?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0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"The Lorax" show the importance of individual and collective action in environmental conservation?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2: Real-World Analogies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Based on the information provided, answer the following questions: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0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deforestation in real-world scenarios, such as the Amazon Rainforest, compare to the deforestation depicted in "The Lorax"?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 the pollution issues in "The Lorax" with the pollution problems of Scajaquada Creek in Buffalo, NY​​.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theme of overconsumption and greed in "The Lorax" manifest in real-world environmental issues, such as overfishing?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00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Compare the disregard for nature's value in "The Lorax" with the real-world issue of wetland drainage and alteration, as seen in Scajaquada Creek's history​.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0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is the importance of individual and collective action in environmental conservation demonstrated in real-world restoration efforts, such as those for the Scajaquada Creek​?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3: Personal Reflection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Write a paragraph reflecting on what you have learned from this comparison. How does understanding these real-world analogies change your perspective on the environmental themes presented in "The Lorax"?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  <w:t xml:space="preserve">Name:__________________________________________ Date:_________ Period:______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